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37" w:rsidRDefault="004A4A37" w:rsidP="004A4A37">
      <w:pPr>
        <w:shd w:val="clear" w:color="auto" w:fill="FFFFFF"/>
        <w:tabs>
          <w:tab w:val="center" w:pos="6718"/>
        </w:tabs>
        <w:spacing w:line="315" w:lineRule="atLeast"/>
        <w:rPr>
          <w:b/>
          <w:sz w:val="28"/>
          <w:szCs w:val="28"/>
          <w:u w:val="single"/>
        </w:rPr>
      </w:pPr>
    </w:p>
    <w:p w:rsidR="004A4A37" w:rsidRDefault="004A4A37" w:rsidP="004A4A37">
      <w:pPr>
        <w:shd w:val="clear" w:color="auto" w:fill="FFFFFF"/>
        <w:tabs>
          <w:tab w:val="center" w:pos="6718"/>
        </w:tabs>
        <w:spacing w:line="315" w:lineRule="atLeast"/>
        <w:rPr>
          <w:b/>
          <w:sz w:val="28"/>
          <w:szCs w:val="28"/>
          <w:u w:val="single"/>
        </w:rPr>
      </w:pPr>
    </w:p>
    <w:p w:rsidR="00B23194" w:rsidRDefault="00B23194" w:rsidP="001D7A61">
      <w:pPr>
        <w:shd w:val="clear" w:color="auto" w:fill="FFFFFF"/>
        <w:tabs>
          <w:tab w:val="left" w:pos="4891"/>
        </w:tabs>
        <w:spacing w:line="315" w:lineRule="atLeast"/>
        <w:jc w:val="both"/>
        <w:rPr>
          <w:b/>
          <w:i/>
          <w:sz w:val="22"/>
          <w:szCs w:val="22"/>
          <w:lang w:eastAsia="pt-BR"/>
        </w:rPr>
      </w:pPr>
      <w:bookmarkStart w:id="0" w:name="_GoBack"/>
      <w:bookmarkEnd w:id="0"/>
    </w:p>
    <w:tbl>
      <w:tblPr>
        <w:tblW w:w="117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992"/>
        <w:gridCol w:w="1133"/>
        <w:gridCol w:w="1145"/>
        <w:gridCol w:w="1158"/>
        <w:gridCol w:w="980"/>
        <w:gridCol w:w="1182"/>
        <w:gridCol w:w="1053"/>
        <w:gridCol w:w="1065"/>
        <w:gridCol w:w="1219"/>
      </w:tblGrid>
      <w:tr w:rsidR="00B23194" w:rsidRPr="00B23194" w:rsidTr="00B23194">
        <w:trPr>
          <w:trHeight w:val="300"/>
        </w:trPr>
        <w:tc>
          <w:tcPr>
            <w:tcW w:w="1177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 xml:space="preserve">TABELA I - A </w:t>
            </w:r>
          </w:p>
        </w:tc>
      </w:tr>
      <w:tr w:rsidR="00B23194" w:rsidRPr="00B23194" w:rsidTr="00B23194">
        <w:trPr>
          <w:trHeight w:val="315"/>
        </w:trPr>
        <w:tc>
          <w:tcPr>
            <w:tcW w:w="1177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Revisão Geral de Salários referente a 2020 (4,48% INPC)</w:t>
            </w:r>
          </w:p>
        </w:tc>
      </w:tr>
      <w:tr w:rsidR="00B23194" w:rsidRPr="00B23194" w:rsidTr="00B23194">
        <w:trPr>
          <w:trHeight w:val="300"/>
        </w:trPr>
        <w:tc>
          <w:tcPr>
            <w:tcW w:w="1177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B23194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Anexo III - Tabela de salários dos servidores integrantes do Quadr</w:t>
            </w:r>
            <w:r>
              <w:rPr>
                <w:b/>
                <w:bCs/>
                <w:i/>
                <w:color w:val="000000"/>
              </w:rPr>
              <w:t>o</w:t>
            </w:r>
            <w:r w:rsidRPr="00B23194">
              <w:rPr>
                <w:b/>
                <w:bCs/>
                <w:i/>
                <w:color w:val="000000"/>
              </w:rPr>
              <w:t xml:space="preserve"> Permanente e Comissão</w:t>
            </w:r>
          </w:p>
        </w:tc>
      </w:tr>
      <w:tr w:rsidR="00B23194" w:rsidRPr="00B23194" w:rsidTr="00B23194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 w:rsidRPr="00B23194">
              <w:rPr>
                <w:b/>
                <w:bCs/>
                <w:i/>
                <w:color w:val="000000"/>
              </w:rPr>
              <w:t>Ref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Anterior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4,48%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B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H</w:t>
            </w:r>
          </w:p>
        </w:tc>
      </w:tr>
      <w:tr w:rsidR="00B23194" w:rsidRPr="00B23194" w:rsidTr="00B23194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1.929,32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86,43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2.015,75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2.116,54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2.222,37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2.333,49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2.450,16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2.572,67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2.701,30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2.836,37</w:t>
            </w:r>
          </w:p>
        </w:tc>
      </w:tr>
      <w:tr w:rsidR="00B23194" w:rsidRPr="00B23194" w:rsidTr="00B23194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2.259,02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101,20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2.360,22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2.478,24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2.602,15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2.732,25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2.868,87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3.012,31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3.162,93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3.321,07</w:t>
            </w:r>
          </w:p>
        </w:tc>
      </w:tr>
      <w:tr w:rsidR="00B23194" w:rsidRPr="00B23194" w:rsidTr="00B23194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2.539,23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113,76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2.652,99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2.785,64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2.924,92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3.071,16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3.224,72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3.385,96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3.555,26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3.733,02</w:t>
            </w:r>
          </w:p>
        </w:tc>
      </w:tr>
      <w:tr w:rsidR="00B23194" w:rsidRPr="00B23194" w:rsidTr="00B23194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3.648,15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163,44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3.811,59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4.002,17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4.202,27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4.412,39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4.633,01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4.864,66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5.107,89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5.363,29</w:t>
            </w:r>
          </w:p>
        </w:tc>
      </w:tr>
      <w:tr w:rsidR="00B23194" w:rsidRPr="00B23194" w:rsidTr="00B23194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3.844,72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172,24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4.016,96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4.217,81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4.428,70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4.650,14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4.882,64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5.126,78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5.383,12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5.652,27</w:t>
            </w:r>
          </w:p>
        </w:tc>
      </w:tr>
      <w:tr w:rsidR="00B23194" w:rsidRPr="00B23194" w:rsidTr="00B2319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94" w:rsidRPr="00B23194" w:rsidRDefault="00B23194" w:rsidP="00D91D07">
            <w:pPr>
              <w:jc w:val="center"/>
              <w:rPr>
                <w:b/>
                <w:bCs/>
                <w:i/>
                <w:color w:val="000000"/>
              </w:rPr>
            </w:pPr>
            <w:r w:rsidRPr="00B23194">
              <w:rPr>
                <w:b/>
                <w:bCs/>
                <w:i/>
                <w:color w:val="000000"/>
              </w:rPr>
              <w:t>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5.032,37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225,45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5.257,82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5.520,71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5.796,75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6.086,58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6.390,91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6.710,46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7.045,98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194" w:rsidRPr="00B23194" w:rsidRDefault="00B23194" w:rsidP="00D91D07">
            <w:pPr>
              <w:jc w:val="center"/>
              <w:rPr>
                <w:bCs/>
                <w:i/>
                <w:color w:val="000000"/>
              </w:rPr>
            </w:pPr>
            <w:r w:rsidRPr="00B23194">
              <w:rPr>
                <w:bCs/>
                <w:i/>
                <w:color w:val="000000"/>
              </w:rPr>
              <w:t>7.398,28</w:t>
            </w:r>
          </w:p>
        </w:tc>
      </w:tr>
    </w:tbl>
    <w:p w:rsidR="00B23194" w:rsidRDefault="00B23194" w:rsidP="00B23194">
      <w:pPr>
        <w:shd w:val="clear" w:color="auto" w:fill="FFFFFF"/>
        <w:tabs>
          <w:tab w:val="left" w:pos="4891"/>
        </w:tabs>
        <w:spacing w:line="315" w:lineRule="atLeast"/>
        <w:rPr>
          <w:b/>
          <w:i/>
          <w:sz w:val="22"/>
          <w:szCs w:val="22"/>
          <w:lang w:eastAsia="pt-BR"/>
        </w:rPr>
      </w:pPr>
      <w:r>
        <w:rPr>
          <w:b/>
          <w:i/>
          <w:sz w:val="22"/>
          <w:szCs w:val="22"/>
          <w:lang w:eastAsia="pt-BR"/>
        </w:rPr>
        <w:t xml:space="preserve">                                                                                                                                                          </w:t>
      </w:r>
    </w:p>
    <w:p w:rsidR="00B23194" w:rsidRPr="00B23194" w:rsidRDefault="00B23194" w:rsidP="00B23194">
      <w:pPr>
        <w:shd w:val="clear" w:color="auto" w:fill="FFFFFF"/>
        <w:tabs>
          <w:tab w:val="left" w:pos="4891"/>
        </w:tabs>
        <w:spacing w:line="315" w:lineRule="atLeast"/>
        <w:rPr>
          <w:i/>
          <w:sz w:val="22"/>
          <w:szCs w:val="22"/>
          <w:lang w:eastAsia="pt-BR"/>
        </w:rPr>
      </w:pPr>
      <w:r>
        <w:rPr>
          <w:b/>
          <w:i/>
          <w:sz w:val="22"/>
          <w:szCs w:val="22"/>
          <w:lang w:eastAsia="pt-BR"/>
        </w:rPr>
        <w:tab/>
      </w:r>
      <w:r w:rsidRPr="00B23194">
        <w:rPr>
          <w:i/>
          <w:sz w:val="22"/>
          <w:szCs w:val="22"/>
          <w:lang w:eastAsia="pt-BR"/>
        </w:rPr>
        <w:t xml:space="preserve">                                                                  Morungaba, 20 de janeiro de 2020.</w:t>
      </w:r>
    </w:p>
    <w:p w:rsidR="004A4A37" w:rsidRPr="003B0EBB" w:rsidRDefault="004A4A37" w:rsidP="004A4A37">
      <w:pPr>
        <w:shd w:val="clear" w:color="auto" w:fill="FFFFFF"/>
        <w:spacing w:line="315" w:lineRule="atLeast"/>
        <w:jc w:val="both"/>
        <w:rPr>
          <w:b/>
          <w:sz w:val="22"/>
          <w:szCs w:val="22"/>
          <w:lang w:eastAsia="pt-BR"/>
        </w:rPr>
      </w:pPr>
    </w:p>
    <w:p w:rsidR="00EF60EF" w:rsidRDefault="00EF60EF"/>
    <w:sectPr w:rsidR="00EF60EF" w:rsidSect="00C205CD">
      <w:headerReference w:type="default" r:id="rId7"/>
      <w:pgSz w:w="16838" w:h="11906" w:orient="landscape"/>
      <w:pgMar w:top="3686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84" w:rsidRDefault="001C5C84" w:rsidP="000F0A97">
      <w:r>
        <w:separator/>
      </w:r>
    </w:p>
  </w:endnote>
  <w:endnote w:type="continuationSeparator" w:id="0">
    <w:p w:rsidR="001C5C84" w:rsidRDefault="001C5C84" w:rsidP="000F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84" w:rsidRDefault="001C5C84" w:rsidP="000F0A97">
      <w:r>
        <w:separator/>
      </w:r>
    </w:p>
  </w:footnote>
  <w:footnote w:type="continuationSeparator" w:id="0">
    <w:p w:rsidR="001C5C84" w:rsidRDefault="001C5C84" w:rsidP="000F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BB" w:rsidRDefault="00B23194" w:rsidP="003B0EBB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-97pt;margin-top:-37.3pt;width:3in;height:139.65pt;z-index:251660288">
          <v:imagedata r:id="rId1" o:title="" grayscale="t"/>
        </v:shape>
        <o:OLEObject Type="Embed" ProgID="PBrush" ShapeID="_x0000_s4098" DrawAspect="Content" ObjectID="_1641035712" r:id="rId2"/>
      </w:pict>
    </w:r>
  </w:p>
  <w:p w:rsidR="003B0EBB" w:rsidRDefault="003B0EBB" w:rsidP="003B0EBB">
    <w:pPr>
      <w:pStyle w:val="Cabealho"/>
      <w:jc w:val="center"/>
    </w:pPr>
  </w:p>
  <w:p w:rsidR="003B0EBB" w:rsidRDefault="003B0EBB" w:rsidP="003B0EBB">
    <w:pPr>
      <w:pStyle w:val="Cabealho"/>
      <w:jc w:val="center"/>
    </w:pPr>
  </w:p>
  <w:p w:rsidR="003B0EBB" w:rsidRDefault="003B0EBB" w:rsidP="003B0EBB">
    <w:pPr>
      <w:pStyle w:val="Cabealho"/>
      <w:jc w:val="center"/>
    </w:pPr>
  </w:p>
  <w:p w:rsidR="003B0EBB" w:rsidRDefault="003B0EBB" w:rsidP="003B0EBB">
    <w:pPr>
      <w:pStyle w:val="Cabealho"/>
      <w:jc w:val="center"/>
    </w:pPr>
  </w:p>
  <w:p w:rsidR="003B0EBB" w:rsidRPr="003B0EBB" w:rsidRDefault="003B0EBB" w:rsidP="003B0EBB">
    <w:pPr>
      <w:pStyle w:val="Cabealho"/>
      <w:jc w:val="center"/>
      <w:rPr>
        <w:rFonts w:ascii="Garamond" w:hAnsi="Garamond"/>
        <w:b/>
        <w:color w:val="0000FF"/>
        <w:sz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3B0EBB" w:rsidRPr="003B0EBB" w:rsidRDefault="003B0EBB" w:rsidP="003B0EBB">
    <w:pPr>
      <w:pStyle w:val="Cabealho"/>
      <w:jc w:val="center"/>
      <w:rPr>
        <w:rFonts w:ascii="Garamond" w:hAnsi="Garamond"/>
        <w:b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B0EBB">
      <w:rPr>
        <w:rFonts w:ascii="Garamond" w:hAnsi="Garamond"/>
        <w:b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3B0EBB" w:rsidRPr="00B66859" w:rsidRDefault="003B0EBB" w:rsidP="003B0EBB">
    <w:pPr>
      <w:pStyle w:val="Cabealho"/>
      <w:rPr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3218084</wp:posOffset>
              </wp:positionH>
              <wp:positionV relativeFrom="paragraph">
                <wp:posOffset>18715</wp:posOffset>
              </wp:positionV>
              <wp:extent cx="2055244" cy="0"/>
              <wp:effectExtent l="0" t="19050" r="254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5244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.45pt" to="415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" o:allowincell="f" strokeweight="2.25pt"/>
          </w:pict>
        </mc:Fallback>
      </mc:AlternateContent>
    </w:r>
    <w:r w:rsidRPr="00B66859">
      <w:tab/>
    </w:r>
  </w:p>
  <w:p w:rsidR="003B0EBB" w:rsidRPr="003B0EBB" w:rsidRDefault="003B0EBB" w:rsidP="003B0EBB">
    <w:pPr>
      <w:pStyle w:val="Cabealho"/>
      <w:rPr>
        <w:rFonts w:ascii="Tahoma" w:hAnsi="Tahoma"/>
        <w:b/>
        <w:sz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B66859">
      <w:tab/>
    </w:r>
    <w:r w:rsidRPr="003B0EBB">
      <w:rPr>
        <w:rFonts w:ascii="Tahoma" w:hAnsi="Tahoma"/>
        <w:b/>
        <w:sz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</w:t>
    </w:r>
    <w:r>
      <w:rPr>
        <w:rFonts w:ascii="Tahoma" w:hAnsi="Tahoma"/>
        <w:b/>
        <w:sz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                                                           </w:t>
    </w:r>
    <w:r w:rsidRPr="003B0EBB">
      <w:rPr>
        <w:rFonts w:ascii="Tahoma" w:hAnsi="Tahoma"/>
        <w:b/>
        <w:sz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Lei nº </w:t>
    </w:r>
    <w:r w:rsidR="00B23194">
      <w:rPr>
        <w:rFonts w:ascii="Tahoma" w:hAnsi="Tahoma"/>
        <w:b/>
        <w:sz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1.907/20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37"/>
    <w:rsid w:val="000F0A97"/>
    <w:rsid w:val="001C5C84"/>
    <w:rsid w:val="001D7A61"/>
    <w:rsid w:val="003033D2"/>
    <w:rsid w:val="003B0EBB"/>
    <w:rsid w:val="004A4A37"/>
    <w:rsid w:val="00B23194"/>
    <w:rsid w:val="00E37CF5"/>
    <w:rsid w:val="00E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A37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B0E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E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A37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B0E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Marilia Leite Rodrigues Frederico</cp:lastModifiedBy>
  <cp:revision>3</cp:revision>
  <dcterms:created xsi:type="dcterms:W3CDTF">2020-01-20T16:24:00Z</dcterms:created>
  <dcterms:modified xsi:type="dcterms:W3CDTF">2020-01-20T16:29:00Z</dcterms:modified>
</cp:coreProperties>
</file>